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17" w:rsidRPr="00E704F1" w:rsidRDefault="00062717" w:rsidP="00E704F1">
      <w:pPr>
        <w:pStyle w:val="120"/>
        <w:shd w:val="clear" w:color="auto" w:fill="auto"/>
        <w:spacing w:after="0" w:line="360" w:lineRule="auto"/>
        <w:rPr>
          <w:rStyle w:val="12"/>
          <w:rFonts w:ascii="方正小标宋简体" w:eastAsia="方正小标宋简体" w:cs="仿宋_GB2312" w:hint="eastAsia"/>
          <w:bCs/>
          <w:snapToGrid w:val="0"/>
          <w:color w:val="000000"/>
          <w:spacing w:val="0"/>
          <w:kern w:val="0"/>
          <w:sz w:val="44"/>
          <w:szCs w:val="44"/>
          <w:lang w:val="zh-TW"/>
        </w:rPr>
      </w:pPr>
      <w:r w:rsidRPr="00E704F1">
        <w:rPr>
          <w:rStyle w:val="12"/>
          <w:rFonts w:ascii="方正小标宋简体" w:eastAsia="方正小标宋简体" w:cs="仿宋_GB2312" w:hint="eastAsia"/>
          <w:bCs/>
          <w:snapToGrid w:val="0"/>
          <w:color w:val="000000"/>
          <w:spacing w:val="0"/>
          <w:kern w:val="0"/>
          <w:sz w:val="44"/>
          <w:szCs w:val="44"/>
          <w:lang w:val="zh-TW"/>
        </w:rPr>
        <w:t>广西玉米品种审定标准</w:t>
      </w:r>
    </w:p>
    <w:p w:rsidR="00E704F1" w:rsidRPr="00E704F1" w:rsidRDefault="00E704F1" w:rsidP="00E704F1">
      <w:pPr>
        <w:pStyle w:val="120"/>
        <w:shd w:val="clear" w:color="auto" w:fill="auto"/>
        <w:spacing w:after="0" w:line="360" w:lineRule="auto"/>
        <w:rPr>
          <w:rStyle w:val="12"/>
          <w:rFonts w:ascii="方正小标宋简体" w:eastAsia="方正小标宋简体" w:cs="Times New Roman" w:hint="eastAsia"/>
          <w:b/>
          <w:bCs/>
          <w:snapToGrid w:val="0"/>
          <w:color w:val="000000"/>
          <w:spacing w:val="0"/>
          <w:kern w:val="0"/>
          <w:sz w:val="44"/>
          <w:szCs w:val="44"/>
          <w:lang w:val="zh-TW"/>
        </w:rPr>
      </w:pP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0" w:name="bookmark1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1基本条件</w:t>
      </w:r>
      <w:bookmarkEnd w:id="0"/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1" w:name="bookmark2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1.1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抗病性</w:t>
      </w:r>
      <w:bookmarkEnd w:id="1"/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2" w:name="bookmark3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1.1.1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籽粒用玉米品种</w:t>
      </w:r>
      <w:bookmarkEnd w:id="2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09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纹枯病、南方锈病田间自然发病和人工接种鉴定均未达到高感；茎腐病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</w:rPr>
        <w:t>（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青枯病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  <w:lang w:val="zh-TW"/>
        </w:rPr>
        <w:t>）、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大斑病、小斑病、穗腐病田间自然发病和人工接种鉴定未同时达到高感，且在同一发病条件下，两种及以上病害未同时达到高感。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3" w:name="bookmark4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1.1.2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青贮玉米品种</w:t>
      </w:r>
      <w:bookmarkEnd w:id="3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09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纹枯病、南方锈病田间自然发病和人工接种鉴定均未达到高感；茎腐病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</w:rPr>
        <w:t>（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青枯病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  <w:lang w:val="zh-TW"/>
        </w:rPr>
        <w:t>）、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大斑病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  <w:lang w:val="zh-TW"/>
        </w:rPr>
        <w:t>、小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斑病、穗腐病田间自然发病和人工接种鉴定未同时达到高感，且在同一发病条件下，两种及以上病害未同时达到高感。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4" w:name="bookmark5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1.1.3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鲜食甜玉米品种、糯玉米品种</w:t>
      </w:r>
      <w:bookmarkEnd w:id="4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09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纹枯病、大斑病、小斑病、南方锈病田间自然发病未达到高感。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5" w:name="bookmark6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1.2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抗倒伏性</w:t>
      </w:r>
      <w:bookmarkEnd w:id="5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09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每年区域试验、生产试验倒伏倒折率之和平均分别≦10.0%,且倒伏倒折率之和≧12.0%的试验点比例≦</w:t>
      </w:r>
      <w:r>
        <w:rPr>
          <w:rStyle w:val="20pt"/>
          <w:rFonts w:ascii="仿宋" w:eastAsia="仿宋" w:hAnsi="仿宋" w:cs="仿宋" w:hint="eastAsia"/>
          <w:color w:val="000000"/>
          <w:spacing w:val="0"/>
          <w:sz w:val="30"/>
          <w:szCs w:val="30"/>
        </w:rPr>
        <w:t>20.0%。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6" w:name="bookmark7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1.3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品质</w:t>
      </w:r>
      <w:bookmarkEnd w:id="6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09"/>
        <w:jc w:val="both"/>
        <w:rPr>
          <w:rStyle w:val="20pt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</w:pP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lastRenderedPageBreak/>
        <w:t>普通玉米品种籽粒容重≧730克/升，粗淀粉含量（干基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）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≧69.0%,粗蛋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  <w:lang w:val="zh-TW"/>
        </w:rPr>
        <w:t xml:space="preserve">白   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质含量（干基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</w:rPr>
        <w:t>）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≧8.0%，粗脂肪含量≧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(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干基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</w:rPr>
        <w:t>）</w:t>
      </w:r>
      <w:r>
        <w:rPr>
          <w:rStyle w:val="20pt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3.0%。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right="26" w:firstLineChars="203" w:firstLine="609"/>
        <w:jc w:val="left"/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</w:pPr>
      <w:bookmarkStart w:id="7" w:name="bookmark8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 xml:space="preserve">2分类品种条件 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right="26" w:firstLineChars="203" w:firstLine="609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2.1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高产稳产品种</w:t>
      </w:r>
      <w:bookmarkEnd w:id="7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09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区域试验产量比对照品种平均增产≧3.0%,且每季增产≧2.0%，生产试验比对照品种增产≧1.0%。每季区域试验、生产试验增产的试验点比例≧</w:t>
      </w:r>
      <w:r>
        <w:rPr>
          <w:rStyle w:val="2PalatinoLinotype"/>
          <w:rFonts w:ascii="仿宋" w:eastAsia="仿宋" w:hAnsi="仿宋" w:cs="仿宋" w:hint="eastAsia"/>
          <w:color w:val="000000"/>
          <w:sz w:val="30"/>
          <w:szCs w:val="30"/>
          <w:lang w:val="zh-TW"/>
        </w:rPr>
        <w:t>60</w:t>
      </w:r>
      <w:r>
        <w:rPr>
          <w:rStyle w:val="210pt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.</w:t>
      </w:r>
      <w:r>
        <w:rPr>
          <w:rStyle w:val="2PalatinoLinotype"/>
          <w:rFonts w:ascii="仿宋" w:eastAsia="仿宋" w:hAnsi="仿宋" w:cs="仿宋" w:hint="eastAsia"/>
          <w:color w:val="000000"/>
          <w:sz w:val="30"/>
          <w:szCs w:val="30"/>
          <w:lang w:val="zh-TW"/>
        </w:rPr>
        <w:t>0</w:t>
      </w:r>
      <w:r>
        <w:rPr>
          <w:rStyle w:val="210pt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% 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8" w:name="bookmark9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2.2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绿色优质品种</w:t>
      </w:r>
      <w:bookmarkEnd w:id="8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</w:rPr>
        <w:t>2.2.1</w:t>
      </w: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抗病品种：纹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枯病、茎腐病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（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青枯病）、大斑病、小斑病、南方锈病、穗腐病田间自然发病和人工接种鉴定均优于或等于中抗。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9" w:name="bookmark10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2.2.2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适宜机械化收获品种</w:t>
      </w:r>
      <w:bookmarkEnd w:id="9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适宜机械化收获籽粒品种: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适收期籽粒含水量≦30.0%,且每季区域试验、生产试验籽粒含水量达标的试验点占全部试验点比例≧60.0%。区域试验、生产试验倒伏倒折率之和≦8.0%,且每季区域试验、生产试验抗倒性达标的试验点占全部试验点比例≧70.0%。区域试验平均产量比对照减产≦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3.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0%,生产试验平均产量比对照减产≦4.0%,且每季区域试验、生产试验籽粒产量达标的试验点占全部试验点比例≧60%。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适宜机械化收获果穗品种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:区域试验、生产试验倒伏倒折率之和≦8.0%,且每季区域试验、生产试验抗倒性达标的试验点占全部试验点比例≧70.0%。区域试验平均产量比对照减产≦3.0%,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lastRenderedPageBreak/>
        <w:t>生产试验平均产量比对照减产≦4.0%，且每季区域试验、生产试验籽粒产量达标的试验点占全部试验点比例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≧60.0%。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10" w:name="bookmark11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2.3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特殊类型品种</w:t>
      </w:r>
      <w:bookmarkEnd w:id="10"/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</w:pPr>
      <w:bookmarkStart w:id="11" w:name="bookmark12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2.3.1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糯玉米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（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干籽粒)、高油、高赖氨酸（优质蛋白玉米，</w:t>
      </w:r>
      <w:r>
        <w:rPr>
          <w:rStyle w:val="1PalatinoLinotype"/>
          <w:rFonts w:ascii="仿宋" w:eastAsia="仿宋" w:hAnsi="仿宋" w:cs="仿宋" w:hint="eastAsia"/>
          <w:b/>
          <w:bCs/>
          <w:color w:val="000000"/>
          <w:sz w:val="30"/>
          <w:szCs w:val="30"/>
          <w:lang w:eastAsia="zh-CN"/>
        </w:rPr>
        <w:t>QPM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)</w:t>
      </w:r>
      <w:bookmarkEnd w:id="11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抗倒性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。每年区域试验、生产试验倒伏倒折率之和≦12.0%。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品质。糯玉米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（</w:t>
      </w: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干籽粒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)：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highlight w:val="cyan"/>
          <w:lang w:val="zh-TW"/>
        </w:rPr>
        <w:t>粗淀粉含量（干基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highlight w:val="cyan"/>
        </w:rPr>
        <w:t>）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highlight w:val="cyan"/>
          <w:lang w:val="zh-TW"/>
        </w:rPr>
        <w:t>≧69.0%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，支链淀粉（干 基）占粗淀粉总量比率≧97.0%。</w:t>
      </w: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高油玉米：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粗脂肪（干基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</w:rPr>
        <w:t>）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含量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≧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7.5%。</w:t>
      </w: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高赖氨酸玉米：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赖氨酸（干基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）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含量≧0.4%。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产量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。区域试验、生产试验产量平均比对照减产≦5.0%;在区域试验、生产试验产量达标的试验点占全部试验点比例≧60.0%。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12" w:name="bookmark13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2.3.2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青贮玉米（不包括粮饲兼用）</w:t>
      </w:r>
      <w:bookmarkEnd w:id="12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生物产量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。区域试验、生产试验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highlight w:val="cyan"/>
          <w:lang w:val="zh-TW"/>
        </w:rPr>
        <w:t>鲜物质产量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平均比同类对照增产≧3.0%, 或比普通玉米对照增产≧10.0%,且在区域试验、生产试验产量达标的试验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点占全部试验点比例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highlight w:val="cyan"/>
          <w:lang w:val="zh-TW"/>
        </w:rPr>
        <w:t>≧60.0%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，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highlight w:val="cyan"/>
          <w:lang w:val="zh-TW"/>
        </w:rPr>
        <w:t>干物质含量≧28.0%。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品质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。整株粗蛋白含量≧7.0%，中性洗涤纤维含量≦50.0%，酸性洗涤纤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维含量≦25.0%,淀粉含量≧25%;持绿性，收获期保持绿色叶片数占地面上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可见叶片总数比例≧65.0%。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抗倒性</w:t>
      </w:r>
      <w:r>
        <w:rPr>
          <w:rStyle w:val="22"/>
          <w:rFonts w:ascii="仿宋" w:eastAsia="仿宋" w:hAnsi="仿宋" w:cs="仿宋" w:hint="eastAsia"/>
          <w:color w:val="000000"/>
          <w:sz w:val="30"/>
          <w:szCs w:val="30"/>
          <w:lang w:val="zh-TW"/>
        </w:rPr>
        <w:t>。每年区域试验、生产试验倒伏倒折率之和平均≦10.0%，且倒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伏倒折率之和≧12.0%的试验点比例≦20.0%;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lastRenderedPageBreak/>
        <w:t>或每年倒伏倒折率之和平均不高于对照。</w:t>
      </w:r>
    </w:p>
    <w:p w:rsidR="00062717" w:rsidRDefault="00062717" w:rsidP="00062717">
      <w:pPr>
        <w:pStyle w:val="10"/>
        <w:shd w:val="clear" w:color="auto" w:fill="auto"/>
        <w:spacing w:before="0" w:line="360" w:lineRule="auto"/>
        <w:ind w:left="-18" w:firstLineChars="203" w:firstLine="609"/>
        <w:jc w:val="both"/>
        <w:rPr>
          <w:rFonts w:ascii="仿宋" w:eastAsia="仿宋" w:hAnsi="仿宋" w:cs="仿宋" w:hint="eastAsia"/>
          <w:sz w:val="30"/>
          <w:szCs w:val="30"/>
        </w:rPr>
      </w:pPr>
      <w:bookmarkStart w:id="13" w:name="bookmark14"/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2.3.3</w:t>
      </w:r>
      <w:r>
        <w:rPr>
          <w:rStyle w:val="1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鲜食甜玉米品种、鲜食糯玉米品种</w:t>
      </w:r>
      <w:bookmarkEnd w:id="13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对照品种品质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。对照品种外观品质和蒸煮品质之和为</w:t>
      </w:r>
      <w:r>
        <w:rPr>
          <w:rStyle w:val="20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85</w:t>
      </w:r>
      <w:r>
        <w:rPr>
          <w:rStyle w:val="2"/>
          <w:rFonts w:ascii="仿宋" w:eastAsia="仿宋" w:hAnsi="仿宋" w:cs="仿宋" w:hint="eastAsia"/>
          <w:b/>
          <w:bCs/>
          <w:color w:val="000000"/>
          <w:spacing w:val="0"/>
          <w:sz w:val="30"/>
          <w:szCs w:val="30"/>
          <w:lang w:val="zh-TW"/>
        </w:rPr>
        <w:t>分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11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0"/>
          <w:rFonts w:ascii="仿宋" w:eastAsia="仿宋" w:hAnsi="仿宋" w:cs="仿宋" w:hint="eastAsia"/>
          <w:color w:val="000000"/>
          <w:sz w:val="30"/>
          <w:szCs w:val="30"/>
          <w:lang w:val="zh-TW"/>
        </w:rPr>
        <w:t>抗倒性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。每季平均倒伏倒折率之和</w:t>
      </w:r>
      <w:r>
        <w:rPr>
          <w:rStyle w:val="2PalatinoLinotype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≦</w:t>
      </w:r>
      <w:r>
        <w:rPr>
          <w:rStyle w:val="210"/>
          <w:rFonts w:ascii="仿宋" w:eastAsia="仿宋" w:hAnsi="仿宋" w:cs="仿宋" w:hint="eastAsia"/>
          <w:b w:val="0"/>
          <w:bCs w:val="0"/>
          <w:color w:val="000000"/>
          <w:spacing w:val="0"/>
          <w:sz w:val="30"/>
          <w:szCs w:val="30"/>
        </w:rPr>
        <w:t>15.0%。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93"/>
        <w:jc w:val="both"/>
        <w:rPr>
          <w:rStyle w:val="1"/>
          <w:rFonts w:ascii="仿宋" w:eastAsia="仿宋" w:hAnsi="仿宋" w:cs="仿宋" w:hint="eastAsia"/>
          <w:color w:val="000000"/>
          <w:sz w:val="30"/>
          <w:szCs w:val="30"/>
          <w:lang w:val="zh-TW"/>
        </w:rPr>
      </w:pPr>
      <w:bookmarkStart w:id="14" w:name="bookmark15"/>
      <w:r>
        <w:rPr>
          <w:rStyle w:val="1"/>
          <w:rFonts w:ascii="仿宋" w:eastAsia="仿宋" w:hAnsi="仿宋" w:cs="仿宋" w:hint="eastAsia"/>
          <w:color w:val="000000"/>
          <w:sz w:val="30"/>
          <w:szCs w:val="30"/>
          <w:lang w:val="zh-TW"/>
        </w:rPr>
        <w:t>品质与产量：</w:t>
      </w:r>
      <w:bookmarkEnd w:id="14"/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09"/>
        <w:jc w:val="both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外观品质和蒸煮品质评分之和达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83.1-86.0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分，区域试验鲜穗产量平均比对照品种增产≧3.0%，且试验增产试验点次比例≧50%。或比对照品种早熟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≧5.0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天的品种，区域试验鲜穗产量平均比对照品种减产≦10.0%;且区域试验增产试验点次比例≧30.0%。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406"/>
        <w:jc w:val="left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-2pt"/>
          <w:rFonts w:ascii="仿宋" w:eastAsia="仿宋" w:hAnsi="仿宋" w:cs="仿宋" w:hint="eastAsia"/>
          <w:color w:val="000000"/>
          <w:sz w:val="30"/>
          <w:szCs w:val="30"/>
          <w:lang w:val="zh-TW"/>
        </w:rPr>
        <w:t>外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观品质和蒸煮品质评分之和优于对照品种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</w:rPr>
        <w:t xml:space="preserve">（ 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</w:rPr>
        <w:t>86.1-87.9</w:t>
      </w:r>
      <w:r>
        <w:rPr>
          <w:rStyle w:val="20pt1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分</w:t>
      </w:r>
      <w:r>
        <w:rPr>
          <w:rStyle w:val="2-2pt"/>
          <w:rFonts w:ascii="仿宋" w:eastAsia="仿宋" w:hAnsi="仿宋" w:cs="仿宋" w:hint="eastAsia"/>
          <w:color w:val="000000"/>
          <w:sz w:val="30"/>
          <w:szCs w:val="30"/>
          <w:lang w:val="zh-TW"/>
        </w:rPr>
        <w:t>），区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域试验 鲜穗产量平均比对照品种减产≦5.0%,且增产试验点次比例≧40.0%。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09"/>
        <w:jc w:val="left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外观品质和蒸煮品质之和明显优于对照品种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(88.0-89.9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分)，区域试验鲜穗产量平均比对照品种减产≦10.0%,且增产试验点次比例≧20.0%。</w:t>
      </w:r>
    </w:p>
    <w:p w:rsidR="00062717" w:rsidRDefault="00062717" w:rsidP="00062717">
      <w:pPr>
        <w:pStyle w:val="21"/>
        <w:shd w:val="clear" w:color="auto" w:fill="auto"/>
        <w:spacing w:line="360" w:lineRule="auto"/>
        <w:ind w:left="-18" w:firstLineChars="203" w:firstLine="609"/>
        <w:jc w:val="left"/>
        <w:rPr>
          <w:rFonts w:ascii="仿宋" w:eastAsia="仿宋" w:hAnsi="仿宋" w:cs="仿宋" w:hint="eastAsia"/>
          <w:spacing w:val="0"/>
          <w:sz w:val="30"/>
          <w:szCs w:val="30"/>
        </w:rPr>
      </w:pP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外观品质和蒸煮品质评分之和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</w:rPr>
        <w:t>≧90.0</w:t>
      </w:r>
      <w:r>
        <w:rPr>
          <w:rStyle w:val="2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分，区域试验鲜穗产量平均比对照品种减产</w:t>
      </w:r>
      <w:r>
        <w:rPr>
          <w:rStyle w:val="2BookmanOldStyle"/>
          <w:rFonts w:ascii="仿宋" w:eastAsia="仿宋" w:hAnsi="仿宋" w:cs="仿宋" w:hint="eastAsia"/>
          <w:color w:val="000000"/>
          <w:sz w:val="30"/>
          <w:szCs w:val="30"/>
          <w:lang w:eastAsia="zh-CN"/>
        </w:rPr>
        <w:t>≦</w:t>
      </w:r>
      <w:r>
        <w:rPr>
          <w:rStyle w:val="20pt"/>
          <w:rFonts w:ascii="仿宋" w:eastAsia="仿宋" w:hAnsi="仿宋" w:cs="仿宋" w:hint="eastAsia"/>
          <w:color w:val="000000"/>
          <w:spacing w:val="0"/>
          <w:sz w:val="30"/>
          <w:szCs w:val="30"/>
        </w:rPr>
        <w:t>15.0%，</w:t>
      </w:r>
      <w:r>
        <w:rPr>
          <w:rStyle w:val="20pt"/>
          <w:rFonts w:ascii="仿宋" w:eastAsia="仿宋" w:hAnsi="仿宋" w:cs="仿宋" w:hint="eastAsia"/>
          <w:color w:val="000000"/>
          <w:spacing w:val="0"/>
          <w:sz w:val="30"/>
          <w:szCs w:val="30"/>
          <w:lang w:val="zh-TW"/>
        </w:rPr>
        <w:t>且增产试验点比例≧20.0%。</w:t>
      </w:r>
    </w:p>
    <w:p w:rsidR="00062717" w:rsidRDefault="00062717" w:rsidP="00062717">
      <w:pPr>
        <w:pStyle w:val="30"/>
        <w:shd w:val="clear" w:color="auto" w:fill="auto"/>
        <w:spacing w:line="360" w:lineRule="auto"/>
        <w:ind w:left="-18" w:firstLineChars="203" w:firstLine="609"/>
        <w:rPr>
          <w:rFonts w:ascii="仿宋" w:eastAsia="仿宋" w:hAnsi="仿宋" w:cs="仿宋" w:hint="eastAsia"/>
          <w:sz w:val="30"/>
          <w:szCs w:val="30"/>
        </w:rPr>
      </w:pPr>
      <w:r>
        <w:rPr>
          <w:rStyle w:val="3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2.3.4</w:t>
      </w:r>
      <w:r>
        <w:rPr>
          <w:rStyle w:val="3"/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val="zh-TW"/>
        </w:rPr>
        <w:t>其他特殊用途类型玉米品种。</w:t>
      </w:r>
    </w:p>
    <w:p w:rsidR="005A4647" w:rsidRPr="00062717" w:rsidRDefault="005A4647"/>
    <w:sectPr w:rsidR="005A4647" w:rsidRPr="00062717" w:rsidSect="005A4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AC3" w:rsidRDefault="00CE6AC3" w:rsidP="00E704F1">
      <w:r>
        <w:separator/>
      </w:r>
    </w:p>
  </w:endnote>
  <w:endnote w:type="continuationSeparator" w:id="1">
    <w:p w:rsidR="00CE6AC3" w:rsidRDefault="00CE6AC3" w:rsidP="00E70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AC3" w:rsidRDefault="00CE6AC3" w:rsidP="00E704F1">
      <w:r>
        <w:separator/>
      </w:r>
    </w:p>
  </w:footnote>
  <w:footnote w:type="continuationSeparator" w:id="1">
    <w:p w:rsidR="00CE6AC3" w:rsidRDefault="00CE6AC3" w:rsidP="00E70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717"/>
    <w:rsid w:val="00062717"/>
    <w:rsid w:val="005A4647"/>
    <w:rsid w:val="00CE6AC3"/>
    <w:rsid w:val="00E7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标题 #1 (2)_"/>
    <w:basedOn w:val="a0"/>
    <w:link w:val="120"/>
    <w:uiPriority w:val="99"/>
    <w:locked/>
    <w:rsid w:val="00062717"/>
    <w:rPr>
      <w:rFonts w:ascii="MingLiU" w:eastAsia="MingLiU" w:cs="MingLiU"/>
      <w:spacing w:val="150"/>
      <w:sz w:val="26"/>
      <w:szCs w:val="26"/>
      <w:shd w:val="clear" w:color="auto" w:fill="FFFFFF"/>
    </w:rPr>
  </w:style>
  <w:style w:type="paragraph" w:customStyle="1" w:styleId="120">
    <w:name w:val="标题 #1 (2)"/>
    <w:basedOn w:val="a"/>
    <w:link w:val="12"/>
    <w:uiPriority w:val="99"/>
    <w:rsid w:val="00062717"/>
    <w:pPr>
      <w:shd w:val="clear" w:color="auto" w:fill="FFFFFF"/>
      <w:spacing w:after="960" w:line="240" w:lineRule="atLeast"/>
      <w:jc w:val="center"/>
      <w:outlineLvl w:val="0"/>
    </w:pPr>
    <w:rPr>
      <w:rFonts w:ascii="MingLiU" w:eastAsia="MingLiU" w:cs="MingLiU"/>
      <w:spacing w:val="150"/>
      <w:sz w:val="26"/>
      <w:szCs w:val="26"/>
    </w:rPr>
  </w:style>
  <w:style w:type="character" w:customStyle="1" w:styleId="1">
    <w:name w:val="标题 #1_"/>
    <w:basedOn w:val="a0"/>
    <w:link w:val="10"/>
    <w:uiPriority w:val="99"/>
    <w:locked/>
    <w:rsid w:val="00062717"/>
    <w:rPr>
      <w:rFonts w:ascii="MingLiU" w:eastAsia="MingLiU" w:cs="MingLiU"/>
      <w:b/>
      <w:bCs/>
      <w:sz w:val="26"/>
      <w:szCs w:val="26"/>
      <w:shd w:val="clear" w:color="auto" w:fill="FFFFFF"/>
    </w:rPr>
  </w:style>
  <w:style w:type="paragraph" w:customStyle="1" w:styleId="10">
    <w:name w:val="标题 #1"/>
    <w:basedOn w:val="a"/>
    <w:link w:val="1"/>
    <w:uiPriority w:val="99"/>
    <w:rsid w:val="00062717"/>
    <w:pPr>
      <w:shd w:val="clear" w:color="auto" w:fill="FFFFFF"/>
      <w:spacing w:before="960" w:line="612" w:lineRule="exact"/>
      <w:jc w:val="distribute"/>
      <w:outlineLvl w:val="0"/>
    </w:pPr>
    <w:rPr>
      <w:rFonts w:ascii="MingLiU" w:eastAsia="MingLiU" w:cs="MingLiU"/>
      <w:b/>
      <w:bCs/>
      <w:sz w:val="26"/>
      <w:szCs w:val="26"/>
    </w:rPr>
  </w:style>
  <w:style w:type="character" w:customStyle="1" w:styleId="2">
    <w:name w:val="正文文本 (2)_"/>
    <w:basedOn w:val="a0"/>
    <w:link w:val="21"/>
    <w:uiPriority w:val="99"/>
    <w:locked/>
    <w:rsid w:val="00062717"/>
    <w:rPr>
      <w:rFonts w:ascii="MingLiU" w:eastAsia="MingLiU" w:cs="MingLiU"/>
      <w:spacing w:val="20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rsid w:val="00062717"/>
    <w:pPr>
      <w:shd w:val="clear" w:color="auto" w:fill="FFFFFF"/>
      <w:spacing w:line="612" w:lineRule="exact"/>
      <w:jc w:val="distribute"/>
    </w:pPr>
    <w:rPr>
      <w:rFonts w:ascii="MingLiU" w:eastAsia="MingLiU" w:cs="MingLiU"/>
      <w:spacing w:val="20"/>
      <w:sz w:val="26"/>
      <w:szCs w:val="26"/>
    </w:rPr>
  </w:style>
  <w:style w:type="character" w:customStyle="1" w:styleId="2-2pt">
    <w:name w:val="正文文本 (2) + 间距 -2 pt"/>
    <w:basedOn w:val="2"/>
    <w:uiPriority w:val="99"/>
    <w:rsid w:val="00062717"/>
    <w:rPr>
      <w:spacing w:val="-50"/>
    </w:rPr>
  </w:style>
  <w:style w:type="character" w:customStyle="1" w:styleId="2BookmanOldStyle">
    <w:name w:val="正文文本 (2) + Bookman Old Style"/>
    <w:aliases w:val="11.5 pt,间距 0 pt"/>
    <w:basedOn w:val="2"/>
    <w:uiPriority w:val="99"/>
    <w:rsid w:val="00062717"/>
    <w:rPr>
      <w:rFonts w:ascii="Bookman Old Style" w:hAnsi="Bookman Old Style" w:cs="Bookman Old Style"/>
      <w:spacing w:val="0"/>
      <w:sz w:val="23"/>
      <w:szCs w:val="23"/>
      <w:lang w:val="en-US" w:eastAsia="en-US"/>
    </w:rPr>
  </w:style>
  <w:style w:type="character" w:customStyle="1" w:styleId="20pt">
    <w:name w:val="正文文本 (2) + 间距 0 pt"/>
    <w:basedOn w:val="2"/>
    <w:uiPriority w:val="99"/>
    <w:rsid w:val="00062717"/>
    <w:rPr>
      <w:spacing w:val="-10"/>
    </w:rPr>
  </w:style>
  <w:style w:type="character" w:customStyle="1" w:styleId="2PalatinoLinotype">
    <w:name w:val="正文文本 (2) + Palatino Linotype"/>
    <w:aliases w:val="间距 0 pt3"/>
    <w:basedOn w:val="2"/>
    <w:uiPriority w:val="99"/>
    <w:rsid w:val="00062717"/>
    <w:rPr>
      <w:rFonts w:ascii="Palatino Linotype" w:hAnsi="Palatino Linotype" w:cs="Palatino Linotype"/>
      <w:spacing w:val="0"/>
    </w:rPr>
  </w:style>
  <w:style w:type="character" w:customStyle="1" w:styleId="210pt">
    <w:name w:val="正文文本 (2) + 10 pt"/>
    <w:aliases w:val="间距 -2 pt"/>
    <w:basedOn w:val="2"/>
    <w:uiPriority w:val="99"/>
    <w:rsid w:val="00062717"/>
    <w:rPr>
      <w:spacing w:val="-40"/>
      <w:sz w:val="20"/>
      <w:szCs w:val="20"/>
    </w:rPr>
  </w:style>
  <w:style w:type="character" w:customStyle="1" w:styleId="20">
    <w:name w:val="正文文本 (2) + 粗体"/>
    <w:aliases w:val="间距 0 pt2"/>
    <w:basedOn w:val="2"/>
    <w:uiPriority w:val="99"/>
    <w:rsid w:val="00062717"/>
    <w:rPr>
      <w:b/>
      <w:bCs/>
      <w:spacing w:val="0"/>
    </w:rPr>
  </w:style>
  <w:style w:type="character" w:customStyle="1" w:styleId="210">
    <w:name w:val="正文文本 (2) + 粗体1"/>
    <w:aliases w:val="间距 -1 pt"/>
    <w:basedOn w:val="2"/>
    <w:uiPriority w:val="99"/>
    <w:rsid w:val="00062717"/>
    <w:rPr>
      <w:b/>
      <w:bCs/>
      <w:spacing w:val="-30"/>
      <w:lang w:val="en-US" w:eastAsia="en-US"/>
    </w:rPr>
  </w:style>
  <w:style w:type="character" w:customStyle="1" w:styleId="20pt1">
    <w:name w:val="正文文本 (2) + 间距 0 pt1"/>
    <w:basedOn w:val="2"/>
    <w:uiPriority w:val="99"/>
    <w:rsid w:val="00062717"/>
    <w:rPr>
      <w:spacing w:val="-10"/>
    </w:rPr>
  </w:style>
  <w:style w:type="character" w:customStyle="1" w:styleId="22">
    <w:name w:val="正文文本 (2)"/>
    <w:basedOn w:val="2"/>
    <w:uiPriority w:val="99"/>
    <w:rsid w:val="00062717"/>
    <w:rPr>
      <w:u w:val="none"/>
    </w:rPr>
  </w:style>
  <w:style w:type="character" w:customStyle="1" w:styleId="2PalatinoLinotype1">
    <w:name w:val="正文文本 (2) + Palatino Linotype1"/>
    <w:aliases w:val="粗体,间距 0 pt1"/>
    <w:basedOn w:val="2"/>
    <w:uiPriority w:val="99"/>
    <w:rsid w:val="00062717"/>
    <w:rPr>
      <w:rFonts w:ascii="Palatino Linotype" w:hAnsi="Palatino Linotype" w:cs="Palatino Linotype"/>
      <w:b/>
      <w:bCs/>
      <w:spacing w:val="0"/>
      <w:u w:val="none"/>
      <w:lang w:val="en-US" w:eastAsia="en-US"/>
    </w:rPr>
  </w:style>
  <w:style w:type="character" w:customStyle="1" w:styleId="3">
    <w:name w:val="正文文本 (3)_"/>
    <w:basedOn w:val="a0"/>
    <w:link w:val="30"/>
    <w:uiPriority w:val="99"/>
    <w:locked/>
    <w:rsid w:val="00062717"/>
    <w:rPr>
      <w:rFonts w:ascii="MingLiU" w:eastAsia="MingLiU" w:cs="MingLiU"/>
      <w:b/>
      <w:bCs/>
      <w:sz w:val="26"/>
      <w:szCs w:val="26"/>
      <w:shd w:val="clear" w:color="auto" w:fill="FFFFFF"/>
    </w:rPr>
  </w:style>
  <w:style w:type="paragraph" w:customStyle="1" w:styleId="30">
    <w:name w:val="正文文本 (3)"/>
    <w:basedOn w:val="a"/>
    <w:link w:val="3"/>
    <w:uiPriority w:val="99"/>
    <w:rsid w:val="00062717"/>
    <w:pPr>
      <w:shd w:val="clear" w:color="auto" w:fill="FFFFFF"/>
      <w:spacing w:line="605" w:lineRule="exact"/>
      <w:ind w:firstLine="580"/>
      <w:jc w:val="left"/>
    </w:pPr>
    <w:rPr>
      <w:rFonts w:ascii="MingLiU" w:eastAsia="MingLiU" w:cs="MingLiU"/>
      <w:b/>
      <w:bCs/>
      <w:sz w:val="26"/>
      <w:szCs w:val="26"/>
    </w:rPr>
  </w:style>
  <w:style w:type="character" w:customStyle="1" w:styleId="1PalatinoLinotype">
    <w:name w:val="标题 #1 + Palatino Linotype"/>
    <w:basedOn w:val="1"/>
    <w:uiPriority w:val="99"/>
    <w:rsid w:val="00062717"/>
    <w:rPr>
      <w:rFonts w:ascii="Palatino Linotype" w:hAnsi="Palatino Linotype" w:cs="Palatino Linotype"/>
      <w:b/>
      <w:bCs/>
      <w:lang w:val="en-US" w:eastAsia="en-US"/>
    </w:rPr>
  </w:style>
  <w:style w:type="paragraph" w:styleId="a3">
    <w:name w:val="header"/>
    <w:basedOn w:val="a"/>
    <w:link w:val="Char"/>
    <w:uiPriority w:val="99"/>
    <w:semiHidden/>
    <w:unhideWhenUsed/>
    <w:rsid w:val="00E70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04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0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04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283</Words>
  <Characters>1617</Characters>
  <Application>Microsoft Office Word</Application>
  <DocSecurity>0</DocSecurity>
  <Lines>13</Lines>
  <Paragraphs>3</Paragraphs>
  <ScaleCrop>false</ScaleCrop>
  <Company>微软中国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祁广军</dc:creator>
  <cp:lastModifiedBy>祁广军</cp:lastModifiedBy>
  <cp:revision>2</cp:revision>
  <dcterms:created xsi:type="dcterms:W3CDTF">2022-01-11T09:03:00Z</dcterms:created>
  <dcterms:modified xsi:type="dcterms:W3CDTF">2022-01-11T09:31:00Z</dcterms:modified>
</cp:coreProperties>
</file>